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21"/>
        <w:tblW w:w="0" w:type="auto"/>
        <w:tblLayout w:type="fixed"/>
        <w:tblLook w:val="04A0"/>
      </w:tblPr>
      <w:tblGrid>
        <w:gridCol w:w="4338"/>
        <w:gridCol w:w="4140"/>
        <w:gridCol w:w="3258"/>
      </w:tblGrid>
      <w:tr w:rsidR="00B915BE" w:rsidRPr="00041F70" w:rsidTr="00735440">
        <w:trPr>
          <w:trHeight w:val="10340"/>
        </w:trPr>
        <w:tc>
          <w:tcPr>
            <w:tcW w:w="4338" w:type="dxa"/>
          </w:tcPr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CVP Relationship in Graphic Form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The relationship among revenue, cost, profit and volume can be expressed graphically by preparing a Cost-volume-profit (CVP) graph. In other words, it’s a graph that shows the relationship between the cost of units produced and the volume of units produced using fixed costs, total costs, and total sales.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noProof/>
                <w:sz w:val="14"/>
                <w:szCs w:val="14"/>
              </w:rPr>
              <w:drawing>
                <wp:inline distT="0" distB="0" distL="0" distR="0">
                  <wp:extent cx="2289322" cy="1614115"/>
                  <wp:effectExtent l="19050" t="0" r="0" b="0"/>
                  <wp:docPr id="9" name="Picture 1" descr="C:\Users\Shawpon\Desktop\CVP-Grap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hawpon\Desktop\CVP-Grap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3113" cy="1616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Contribution Margin Ratio (CM Ratio)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The contribution margin ratio is the difference between a company's sales and variable expenses, expressed as a percentage.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Ratio of contribution margin to sales revenue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Used to compute the breakeven point in terms of sales dollars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Contribution Margin Ratio=Contribution Margin/Sales Revenue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CM Ratio=Total contribution margin/Total sales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CM Ratio=Unit contribution margin/Unit selling price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Contribution Margin is equal to : Sales price-variable cost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Contribution margin divided by sales revenue yields a percentage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noProof/>
                <w:sz w:val="14"/>
                <w:szCs w:val="14"/>
              </w:rPr>
              <w:drawing>
                <wp:inline distT="0" distB="0" distL="0" distR="0">
                  <wp:extent cx="2354268" cy="1241947"/>
                  <wp:effectExtent l="19050" t="0" r="7932" b="0"/>
                  <wp:docPr id="11" name="Picture 2" descr="C:\Users\Shawpon\Desktop\contribution-margin-ratio-img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hawpon\Desktop\contribution-margin-ratio-img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9059" cy="124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Break-Even Computations: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 xml:space="preserve">Break-even is the point of zero loss or profit. At break-even point, the revenues of the business are equal its total costs and its contribution margin equals its total fixed costs. Break-even point can be calculated by 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 xml:space="preserve">Equation method, </w:t>
            </w:r>
          </w:p>
          <w:p w:rsidR="00AA5AC6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 xml:space="preserve">Contribution method or graphical method. </w:t>
            </w:r>
          </w:p>
          <w:p w:rsidR="00AA5AC6" w:rsidRPr="001B3D9B" w:rsidRDefault="00AA5AC6" w:rsidP="00AA5AC6">
            <w:pPr>
              <w:pStyle w:val="ListParagraph"/>
              <w:ind w:left="180"/>
              <w:rPr>
                <w:rFonts w:cstheme="minorHAnsi"/>
                <w:sz w:val="14"/>
                <w:szCs w:val="14"/>
              </w:rPr>
            </w:pP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The Equation Method:</w:t>
            </w:r>
            <w:r w:rsidRPr="001B3D9B">
              <w:rPr>
                <w:rFonts w:cstheme="minorHAnsi"/>
                <w:b/>
                <w:sz w:val="14"/>
                <w:szCs w:val="14"/>
              </w:rPr>
              <w:t xml:space="preserve"> </w:t>
            </w:r>
            <w:r w:rsidRPr="001B3D9B">
              <w:rPr>
                <w:rFonts w:cstheme="minorHAnsi"/>
                <w:sz w:val="14"/>
                <w:szCs w:val="14"/>
              </w:rPr>
              <w:t>The equation method is based on the cost-volume-profit (CVP) formula: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px = vx + FC + Profit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Where,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p is the price per unit,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x is the number of units,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v is variable cost per unit and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FC is total fixed cost.</w:t>
            </w: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</w:rPr>
            </w:pPr>
            <w:r w:rsidRPr="001B3D9B">
              <w:rPr>
                <w:rFonts w:cstheme="minorHAnsi"/>
                <w:b/>
                <w:sz w:val="14"/>
                <w:szCs w:val="14"/>
              </w:rPr>
              <w:t>Sales=Variable expenses + Fixed expenses + Profits</w:t>
            </w:r>
          </w:p>
          <w:p w:rsidR="00AA5AC6" w:rsidRDefault="00AA5AC6" w:rsidP="00AA5AC6">
            <w:pPr>
              <w:rPr>
                <w:rFonts w:cstheme="minorHAnsi"/>
                <w:b/>
                <w:sz w:val="14"/>
                <w:szCs w:val="14"/>
              </w:rPr>
            </w:pPr>
            <w:r w:rsidRPr="001B3D9B">
              <w:rPr>
                <w:rFonts w:cstheme="minorHAnsi"/>
                <w:b/>
                <w:sz w:val="14"/>
                <w:szCs w:val="14"/>
              </w:rPr>
              <w:t>(Unit Sales price X Units sold) – (Variable unit cost X Unit sold) – Fixed expenses = Operating income</w:t>
            </w: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</w:rPr>
            </w:pP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 xml:space="preserve">The Contribution method: 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Each unit sold provides a certain amount of contribution margin that goes toward covering fixed cost.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To find how many units must be sold to break even, divide the total fixed expenses by the unit contribution margin: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Break-even point in unit sold= Fixed expenses/Unit contribution margin</w:t>
            </w:r>
          </w:p>
          <w:p w:rsidR="00AA5AC6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Break-even point in total sales dollars= Fixed expenses/CM ratio</w:t>
            </w:r>
          </w:p>
          <w:p w:rsidR="00B2147A" w:rsidRPr="00AA5AC6" w:rsidRDefault="00B2147A" w:rsidP="00AA5AC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140" w:type="dxa"/>
          </w:tcPr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Target Profit Analysis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Target profit is the expected amount of profit that the managers of a business expect to achieve by the end of a designated accounting period. The target profit is typically derived from the budgeting process, and is compared with the actual outcome in the income statement.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Cost-volume-profit analysis (or CVP analysis) following this calculation: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Multiply the expected number of units to be sold by their expected contribution margin to arrive at the total contribution margin for the period.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Subtract the total amount of expected fixed cost for the period.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The result is the target profit.</w:t>
            </w:r>
          </w:p>
          <w:p w:rsidR="00AA5AC6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AA5AC6">
              <w:rPr>
                <w:rFonts w:cstheme="minorHAnsi"/>
                <w:b/>
                <w:sz w:val="14"/>
                <w:szCs w:val="14"/>
              </w:rPr>
              <w:t>Formula:</w:t>
            </w:r>
            <w:r w:rsidRPr="00AA5AC6">
              <w:rPr>
                <w:rFonts w:cstheme="minorHAnsi"/>
                <w:sz w:val="14"/>
                <w:szCs w:val="14"/>
              </w:rPr>
              <w:t xml:space="preserve"> </w:t>
            </w:r>
            <w:r w:rsidRPr="001B3D9B">
              <w:rPr>
                <w:rFonts w:cstheme="minorHAnsi"/>
                <w:sz w:val="14"/>
                <w:szCs w:val="14"/>
              </w:rPr>
              <w:t xml:space="preserve">Sales= Variable expenses + Fixed expenses + Profit </w:t>
            </w:r>
          </w:p>
          <w:p w:rsidR="00AA5AC6" w:rsidRPr="001B3D9B" w:rsidRDefault="00AA5AC6" w:rsidP="00AA5AC6">
            <w:pPr>
              <w:pStyle w:val="ListParagraph"/>
              <w:ind w:left="180"/>
              <w:rPr>
                <w:rFonts w:cstheme="minorHAnsi"/>
                <w:sz w:val="14"/>
                <w:szCs w:val="14"/>
              </w:rPr>
            </w:pP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Costs on interest</w:t>
            </w:r>
          </w:p>
          <w:p w:rsidR="00AA5AC6" w:rsidRPr="001B3D9B" w:rsidRDefault="00AA5AC6" w:rsidP="00AA5AC6">
            <w:p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 xml:space="preserve">The contribution margin approach: 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Unit sales to attain the target profit= (Fixed expenses + Target profit) / Unit contribution margin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Dollar sales to attain target profit= (Fixed expenses + Target profit)/ CM Ratio</w:t>
            </w:r>
          </w:p>
          <w:p w:rsidR="00AA5AC6" w:rsidRPr="001B3D9B" w:rsidRDefault="00AA5AC6" w:rsidP="00AA5AC6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The Margin of Safety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Margin of safety is used in break-even analysis to indicate the amount of sales that are above the break-even point. In other words, the margin of safety indicates the amount by which a company's sales could decrease before the company will become unprofitable.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The higher the margin of safety, the lower the risk of not breaking even and incurring a loss.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Margin of safety= Total budgeted ( or actual) sales-Break-even sales</w:t>
            </w:r>
          </w:p>
          <w:p w:rsidR="00AA5AC6" w:rsidRPr="001B3D9B" w:rsidRDefault="00AA5AC6" w:rsidP="00AA5AC6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Margin of safety percentage= Margin of safety in dollars/ Total budgeted( or actual) sales in dollars.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2870"/>
              <w:gridCol w:w="748"/>
            </w:tblGrid>
            <w:tr w:rsidR="006426A0" w:rsidRPr="001B3D9B" w:rsidTr="006426A0">
              <w:tc>
                <w:tcPr>
                  <w:tcW w:w="2870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Sales ( at current volume of 400 rate 250 per) (a)</w:t>
                  </w:r>
                </w:p>
              </w:tc>
              <w:tc>
                <w:tcPr>
                  <w:tcW w:w="748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jc w:val="right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$100,000</w:t>
                  </w:r>
                </w:p>
              </w:tc>
            </w:tr>
            <w:tr w:rsidR="006426A0" w:rsidRPr="001B3D9B" w:rsidTr="006426A0">
              <w:tc>
                <w:tcPr>
                  <w:tcW w:w="2870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Break-even sales (at 350, rate 250 per)</w:t>
                  </w:r>
                </w:p>
              </w:tc>
              <w:tc>
                <w:tcPr>
                  <w:tcW w:w="748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jc w:val="right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87,500</w:t>
                  </w:r>
                </w:p>
              </w:tc>
            </w:tr>
            <w:tr w:rsidR="006426A0" w:rsidRPr="001B3D9B" w:rsidTr="006426A0">
              <w:tc>
                <w:tcPr>
                  <w:tcW w:w="2870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Margin of Safety (b)</w:t>
                  </w:r>
                </w:p>
              </w:tc>
              <w:tc>
                <w:tcPr>
                  <w:tcW w:w="748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jc w:val="right"/>
                    <w:rPr>
                      <w:rFonts w:cstheme="minorHAnsi"/>
                      <w:sz w:val="14"/>
                      <w:szCs w:val="14"/>
                      <w:u w:val="double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  <w:u w:val="double"/>
                    </w:rPr>
                    <w:t>$12,500</w:t>
                  </w:r>
                </w:p>
              </w:tc>
            </w:tr>
            <w:tr w:rsidR="006426A0" w:rsidRPr="001B3D9B" w:rsidTr="006426A0">
              <w:tc>
                <w:tcPr>
                  <w:tcW w:w="2870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Margin of safety as a percentage of sales, (b)/(a)</w:t>
                  </w:r>
                </w:p>
              </w:tc>
              <w:tc>
                <w:tcPr>
                  <w:tcW w:w="748" w:type="dxa"/>
                </w:tcPr>
                <w:p w:rsidR="006426A0" w:rsidRPr="001B3D9B" w:rsidRDefault="006426A0" w:rsidP="006426A0">
                  <w:pPr>
                    <w:framePr w:hSpace="180" w:wrap="around" w:vAnchor="text" w:hAnchor="margin" w:y="21"/>
                    <w:jc w:val="right"/>
                    <w:rPr>
                      <w:rFonts w:cstheme="minorHAnsi"/>
                      <w:sz w:val="14"/>
                      <w:szCs w:val="14"/>
                    </w:rPr>
                  </w:pPr>
                  <w:r w:rsidRPr="001B3D9B">
                    <w:rPr>
                      <w:rFonts w:cstheme="minorHAnsi"/>
                      <w:sz w:val="14"/>
                      <w:szCs w:val="14"/>
                    </w:rPr>
                    <w:t>12.5 %</w:t>
                  </w:r>
                </w:p>
              </w:tc>
            </w:tr>
          </w:tbl>
          <w:p w:rsidR="00AA5AC6" w:rsidRPr="001B3D9B" w:rsidRDefault="00AA5AC6" w:rsidP="00AA5AC6">
            <w:pPr>
              <w:ind w:left="360"/>
              <w:rPr>
                <w:rFonts w:cstheme="minorHAnsi"/>
                <w:sz w:val="14"/>
                <w:szCs w:val="14"/>
              </w:rPr>
            </w:pPr>
          </w:p>
          <w:p w:rsidR="00AA5AC6" w:rsidRPr="001B3D9B" w:rsidRDefault="00AA5AC6" w:rsidP="006426A0">
            <w:pPr>
              <w:rPr>
                <w:rFonts w:cstheme="minorHAnsi"/>
                <w:b/>
                <w:sz w:val="14"/>
                <w:szCs w:val="14"/>
                <w:u w:val="single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>Operating leverage</w:t>
            </w:r>
          </w:p>
          <w:p w:rsidR="00AA5AC6" w:rsidRPr="001B3D9B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Operating leverage is one of the techniques to measure the impact of changes in sales which lead for change in the profit of the company.</w:t>
            </w:r>
          </w:p>
          <w:p w:rsidR="00AA5AC6" w:rsidRPr="001B3D9B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If any change in sales, it will lead to corresponding change in profit</w:t>
            </w:r>
          </w:p>
          <w:p w:rsidR="00AA5AC6" w:rsidRPr="001B3D9B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Operating leverage helps to identify the position of fixed cost and variable cost</w:t>
            </w:r>
          </w:p>
          <w:p w:rsidR="00AA5AC6" w:rsidRPr="001B3D9B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Operating leverage measures the relationship between the sales and revenue of the company during a particular period.</w:t>
            </w:r>
          </w:p>
          <w:p w:rsidR="00AA5AC6" w:rsidRPr="001B3D9B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Operating leverage helps to understand the level of fixed cost which is invested in the operating expenses of the business activities</w:t>
            </w:r>
          </w:p>
          <w:p w:rsidR="00AA5AC6" w:rsidRPr="001B3D9B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Operating leverage describes the overall position of fixed operating cost.</w:t>
            </w:r>
          </w:p>
          <w:p w:rsidR="00932F9F" w:rsidRPr="006426A0" w:rsidRDefault="00AA5AC6" w:rsidP="006426A0">
            <w:pPr>
              <w:pStyle w:val="ListParagraph"/>
              <w:numPr>
                <w:ilvl w:val="0"/>
                <w:numId w:val="18"/>
              </w:numPr>
              <w:ind w:left="180" w:hanging="94"/>
              <w:rPr>
                <w:rFonts w:cstheme="minorHAnsi"/>
                <w:sz w:val="14"/>
                <w:szCs w:val="14"/>
              </w:rPr>
            </w:pPr>
            <w:r w:rsidRPr="001B3D9B">
              <w:rPr>
                <w:rFonts w:cstheme="minorHAnsi"/>
                <w:sz w:val="14"/>
                <w:szCs w:val="14"/>
              </w:rPr>
              <w:t>The degree of operating leverage = Contribution margin/Net operating income</w:t>
            </w:r>
          </w:p>
        </w:tc>
        <w:tc>
          <w:tcPr>
            <w:tcW w:w="3258" w:type="dxa"/>
          </w:tcPr>
          <w:p w:rsidR="00941E36" w:rsidRPr="00CD4B65" w:rsidRDefault="00941E36" w:rsidP="00AA5AC6">
            <w:pPr>
              <w:rPr>
                <w:rFonts w:cstheme="minorHAnsi"/>
                <w:b/>
                <w:sz w:val="14"/>
                <w:szCs w:val="14"/>
              </w:rPr>
            </w:pPr>
            <w:r w:rsidRPr="001B3D9B">
              <w:rPr>
                <w:rFonts w:cstheme="minorHAnsi"/>
                <w:b/>
                <w:sz w:val="14"/>
                <w:szCs w:val="14"/>
                <w:u w:val="single"/>
              </w:rPr>
              <w:t xml:space="preserve"> </w:t>
            </w:r>
          </w:p>
        </w:tc>
      </w:tr>
    </w:tbl>
    <w:p w:rsidR="00B915BE" w:rsidRPr="00041F70" w:rsidRDefault="00B915BE" w:rsidP="00133FA4">
      <w:pPr>
        <w:jc w:val="both"/>
        <w:rPr>
          <w:rFonts w:cstheme="minorHAnsi"/>
          <w:sz w:val="14"/>
          <w:szCs w:val="14"/>
        </w:rPr>
      </w:pPr>
    </w:p>
    <w:sectPr w:rsidR="00B915BE" w:rsidRPr="00041F70" w:rsidSect="00BA7765">
      <w:pgSz w:w="12240" w:h="15840"/>
      <w:pgMar w:top="270" w:right="360" w:bottom="18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45A4"/>
    <w:multiLevelType w:val="hybridMultilevel"/>
    <w:tmpl w:val="D090C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16396"/>
    <w:multiLevelType w:val="hybridMultilevel"/>
    <w:tmpl w:val="5EC06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A1AA3"/>
    <w:multiLevelType w:val="hybridMultilevel"/>
    <w:tmpl w:val="2F66AA4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9C43B53"/>
    <w:multiLevelType w:val="hybridMultilevel"/>
    <w:tmpl w:val="2D9C3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D0452F"/>
    <w:multiLevelType w:val="hybridMultilevel"/>
    <w:tmpl w:val="CA6C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C3CE7"/>
    <w:multiLevelType w:val="hybridMultilevel"/>
    <w:tmpl w:val="33F2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FA2C1C"/>
    <w:multiLevelType w:val="hybridMultilevel"/>
    <w:tmpl w:val="8856DDD0"/>
    <w:lvl w:ilvl="0" w:tplc="6AAA998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25480"/>
    <w:multiLevelType w:val="hybridMultilevel"/>
    <w:tmpl w:val="E9340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4475A0"/>
    <w:multiLevelType w:val="hybridMultilevel"/>
    <w:tmpl w:val="AA0C0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06D36"/>
    <w:multiLevelType w:val="hybridMultilevel"/>
    <w:tmpl w:val="00425698"/>
    <w:lvl w:ilvl="0" w:tplc="04090001">
      <w:start w:val="1"/>
      <w:numFmt w:val="bullet"/>
      <w:lvlText w:val=""/>
      <w:lvlJc w:val="left"/>
      <w:pPr>
        <w:ind w:left="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0">
    <w:nsid w:val="2D0E2DDF"/>
    <w:multiLevelType w:val="hybridMultilevel"/>
    <w:tmpl w:val="DE8AD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A408AE"/>
    <w:multiLevelType w:val="hybridMultilevel"/>
    <w:tmpl w:val="635AEFA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8B371E4"/>
    <w:multiLevelType w:val="hybridMultilevel"/>
    <w:tmpl w:val="5420D892"/>
    <w:lvl w:ilvl="0" w:tplc="6D364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DA215E"/>
    <w:multiLevelType w:val="hybridMultilevel"/>
    <w:tmpl w:val="9E58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F069D8"/>
    <w:multiLevelType w:val="hybridMultilevel"/>
    <w:tmpl w:val="52666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14583"/>
    <w:multiLevelType w:val="hybridMultilevel"/>
    <w:tmpl w:val="F1783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62365C"/>
    <w:multiLevelType w:val="hybridMultilevel"/>
    <w:tmpl w:val="4246F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3E687C"/>
    <w:multiLevelType w:val="hybridMultilevel"/>
    <w:tmpl w:val="772E8C5A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8">
    <w:nsid w:val="566F3259"/>
    <w:multiLevelType w:val="hybridMultilevel"/>
    <w:tmpl w:val="7DA22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057233"/>
    <w:multiLevelType w:val="hybridMultilevel"/>
    <w:tmpl w:val="9B1614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7A73AB6"/>
    <w:multiLevelType w:val="hybridMultilevel"/>
    <w:tmpl w:val="3BF0E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DA4EDC"/>
    <w:multiLevelType w:val="hybridMultilevel"/>
    <w:tmpl w:val="345A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BC002F"/>
    <w:multiLevelType w:val="hybridMultilevel"/>
    <w:tmpl w:val="58960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A064D8"/>
    <w:multiLevelType w:val="hybridMultilevel"/>
    <w:tmpl w:val="ED2C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3"/>
  </w:num>
  <w:num w:numId="5">
    <w:abstractNumId w:val="13"/>
  </w:num>
  <w:num w:numId="6">
    <w:abstractNumId w:val="22"/>
  </w:num>
  <w:num w:numId="7">
    <w:abstractNumId w:val="15"/>
  </w:num>
  <w:num w:numId="8">
    <w:abstractNumId w:val="10"/>
  </w:num>
  <w:num w:numId="9">
    <w:abstractNumId w:val="14"/>
  </w:num>
  <w:num w:numId="10">
    <w:abstractNumId w:val="2"/>
  </w:num>
  <w:num w:numId="11">
    <w:abstractNumId w:val="12"/>
  </w:num>
  <w:num w:numId="12">
    <w:abstractNumId w:val="19"/>
  </w:num>
  <w:num w:numId="13">
    <w:abstractNumId w:val="23"/>
  </w:num>
  <w:num w:numId="14">
    <w:abstractNumId w:val="6"/>
  </w:num>
  <w:num w:numId="15">
    <w:abstractNumId w:val="9"/>
  </w:num>
  <w:num w:numId="16">
    <w:abstractNumId w:val="4"/>
  </w:num>
  <w:num w:numId="17">
    <w:abstractNumId w:val="20"/>
  </w:num>
  <w:num w:numId="18">
    <w:abstractNumId w:val="21"/>
  </w:num>
  <w:num w:numId="19">
    <w:abstractNumId w:val="1"/>
  </w:num>
  <w:num w:numId="20">
    <w:abstractNumId w:val="16"/>
  </w:num>
  <w:num w:numId="21">
    <w:abstractNumId w:val="18"/>
  </w:num>
  <w:num w:numId="22">
    <w:abstractNumId w:val="8"/>
  </w:num>
  <w:num w:numId="23">
    <w:abstractNumId w:val="5"/>
  </w:num>
  <w:num w:numId="2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DD1988"/>
    <w:rsid w:val="00004A3A"/>
    <w:rsid w:val="00005201"/>
    <w:rsid w:val="00015C5C"/>
    <w:rsid w:val="00022686"/>
    <w:rsid w:val="00041F70"/>
    <w:rsid w:val="000562ED"/>
    <w:rsid w:val="00056AA1"/>
    <w:rsid w:val="00060BB6"/>
    <w:rsid w:val="00064D24"/>
    <w:rsid w:val="0007303B"/>
    <w:rsid w:val="000943C3"/>
    <w:rsid w:val="000E7F4E"/>
    <w:rsid w:val="000F6427"/>
    <w:rsid w:val="00133FA4"/>
    <w:rsid w:val="00143266"/>
    <w:rsid w:val="001812C7"/>
    <w:rsid w:val="001B45B6"/>
    <w:rsid w:val="001C223D"/>
    <w:rsid w:val="001D5F47"/>
    <w:rsid w:val="001D6B88"/>
    <w:rsid w:val="0024511F"/>
    <w:rsid w:val="00247317"/>
    <w:rsid w:val="00257B5B"/>
    <w:rsid w:val="0027437B"/>
    <w:rsid w:val="002862A8"/>
    <w:rsid w:val="00292E02"/>
    <w:rsid w:val="002A45C9"/>
    <w:rsid w:val="002D5A3C"/>
    <w:rsid w:val="002E39C6"/>
    <w:rsid w:val="00302BFC"/>
    <w:rsid w:val="003326EC"/>
    <w:rsid w:val="003845CA"/>
    <w:rsid w:val="003E30B7"/>
    <w:rsid w:val="003E4594"/>
    <w:rsid w:val="003E7469"/>
    <w:rsid w:val="00415458"/>
    <w:rsid w:val="004252AD"/>
    <w:rsid w:val="0043532A"/>
    <w:rsid w:val="00450B0F"/>
    <w:rsid w:val="00472DB7"/>
    <w:rsid w:val="00473056"/>
    <w:rsid w:val="004A7438"/>
    <w:rsid w:val="004D18BF"/>
    <w:rsid w:val="004E3799"/>
    <w:rsid w:val="00507BB5"/>
    <w:rsid w:val="00520B7C"/>
    <w:rsid w:val="005303F7"/>
    <w:rsid w:val="005703D7"/>
    <w:rsid w:val="0057438C"/>
    <w:rsid w:val="00581503"/>
    <w:rsid w:val="005B5992"/>
    <w:rsid w:val="005C1488"/>
    <w:rsid w:val="005D6209"/>
    <w:rsid w:val="00610D04"/>
    <w:rsid w:val="0063581F"/>
    <w:rsid w:val="006426A0"/>
    <w:rsid w:val="00642FF3"/>
    <w:rsid w:val="006447BC"/>
    <w:rsid w:val="0064569A"/>
    <w:rsid w:val="0065391E"/>
    <w:rsid w:val="00675CCB"/>
    <w:rsid w:val="006A68EB"/>
    <w:rsid w:val="006B20C2"/>
    <w:rsid w:val="00735440"/>
    <w:rsid w:val="00770847"/>
    <w:rsid w:val="007864B4"/>
    <w:rsid w:val="0079653D"/>
    <w:rsid w:val="007A1EF2"/>
    <w:rsid w:val="007E1902"/>
    <w:rsid w:val="00801EEA"/>
    <w:rsid w:val="008307AF"/>
    <w:rsid w:val="00861186"/>
    <w:rsid w:val="0086207F"/>
    <w:rsid w:val="008B2E79"/>
    <w:rsid w:val="008D62C6"/>
    <w:rsid w:val="008E37B3"/>
    <w:rsid w:val="008F07BF"/>
    <w:rsid w:val="008F35B6"/>
    <w:rsid w:val="009304D1"/>
    <w:rsid w:val="00930B33"/>
    <w:rsid w:val="00932F9F"/>
    <w:rsid w:val="00941E36"/>
    <w:rsid w:val="00954927"/>
    <w:rsid w:val="00962366"/>
    <w:rsid w:val="00973336"/>
    <w:rsid w:val="009C115D"/>
    <w:rsid w:val="009D129A"/>
    <w:rsid w:val="009E1B3D"/>
    <w:rsid w:val="009F7615"/>
    <w:rsid w:val="00A01C6F"/>
    <w:rsid w:val="00A132F8"/>
    <w:rsid w:val="00A31F28"/>
    <w:rsid w:val="00A4728F"/>
    <w:rsid w:val="00A54B0F"/>
    <w:rsid w:val="00A57611"/>
    <w:rsid w:val="00A809BE"/>
    <w:rsid w:val="00A875EE"/>
    <w:rsid w:val="00AA1E51"/>
    <w:rsid w:val="00AA5AC6"/>
    <w:rsid w:val="00AB0EE7"/>
    <w:rsid w:val="00AB5309"/>
    <w:rsid w:val="00AC193D"/>
    <w:rsid w:val="00AC27E9"/>
    <w:rsid w:val="00AC70CA"/>
    <w:rsid w:val="00AF2493"/>
    <w:rsid w:val="00AF2940"/>
    <w:rsid w:val="00AF36A9"/>
    <w:rsid w:val="00B1426D"/>
    <w:rsid w:val="00B2147A"/>
    <w:rsid w:val="00B4455A"/>
    <w:rsid w:val="00B54DFA"/>
    <w:rsid w:val="00B565F4"/>
    <w:rsid w:val="00B649C8"/>
    <w:rsid w:val="00B77A5B"/>
    <w:rsid w:val="00B915BE"/>
    <w:rsid w:val="00BA4F88"/>
    <w:rsid w:val="00BA7765"/>
    <w:rsid w:val="00BB7597"/>
    <w:rsid w:val="00BD0399"/>
    <w:rsid w:val="00BD3228"/>
    <w:rsid w:val="00BF1533"/>
    <w:rsid w:val="00C361EB"/>
    <w:rsid w:val="00C53D0C"/>
    <w:rsid w:val="00C63FBE"/>
    <w:rsid w:val="00C73B02"/>
    <w:rsid w:val="00C82788"/>
    <w:rsid w:val="00CA3841"/>
    <w:rsid w:val="00CB7D8A"/>
    <w:rsid w:val="00CD4B65"/>
    <w:rsid w:val="00D07400"/>
    <w:rsid w:val="00D07E13"/>
    <w:rsid w:val="00D370EB"/>
    <w:rsid w:val="00D41CE8"/>
    <w:rsid w:val="00D75468"/>
    <w:rsid w:val="00D87130"/>
    <w:rsid w:val="00D91933"/>
    <w:rsid w:val="00DA4798"/>
    <w:rsid w:val="00DB5B27"/>
    <w:rsid w:val="00DB69C7"/>
    <w:rsid w:val="00DB7253"/>
    <w:rsid w:val="00DC3AE3"/>
    <w:rsid w:val="00DD1988"/>
    <w:rsid w:val="00DE7D68"/>
    <w:rsid w:val="00E30979"/>
    <w:rsid w:val="00E577BF"/>
    <w:rsid w:val="00E606EC"/>
    <w:rsid w:val="00E8097E"/>
    <w:rsid w:val="00E82985"/>
    <w:rsid w:val="00EA54A7"/>
    <w:rsid w:val="00EB2205"/>
    <w:rsid w:val="00EB427F"/>
    <w:rsid w:val="00EF48FD"/>
    <w:rsid w:val="00F02CBF"/>
    <w:rsid w:val="00F05464"/>
    <w:rsid w:val="00F103BA"/>
    <w:rsid w:val="00F421D0"/>
    <w:rsid w:val="00F44BD4"/>
    <w:rsid w:val="00F4520A"/>
    <w:rsid w:val="00F5254C"/>
    <w:rsid w:val="00F60F80"/>
    <w:rsid w:val="00F75487"/>
    <w:rsid w:val="00F95AEA"/>
    <w:rsid w:val="00FB43D9"/>
    <w:rsid w:val="00FE1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317"/>
  </w:style>
  <w:style w:type="paragraph" w:styleId="Heading2">
    <w:name w:val="heading 2"/>
    <w:basedOn w:val="Normal"/>
    <w:link w:val="Heading2Char"/>
    <w:uiPriority w:val="9"/>
    <w:qFormat/>
    <w:rsid w:val="004A74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77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2F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2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A743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4A7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E7F4E"/>
    <w:rPr>
      <w:b/>
      <w:bCs/>
    </w:rPr>
  </w:style>
  <w:style w:type="character" w:customStyle="1" w:styleId="ilfuvd">
    <w:name w:val="ilfuvd"/>
    <w:basedOn w:val="DefaultParagraphFont"/>
    <w:rsid w:val="00F421D0"/>
  </w:style>
  <w:style w:type="character" w:customStyle="1" w:styleId="t">
    <w:name w:val="t"/>
    <w:basedOn w:val="DefaultParagraphFont"/>
    <w:rsid w:val="00D07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6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205</cp:revision>
  <dcterms:created xsi:type="dcterms:W3CDTF">2017-11-28T09:00:00Z</dcterms:created>
  <dcterms:modified xsi:type="dcterms:W3CDTF">2019-03-07T11:23:00Z</dcterms:modified>
</cp:coreProperties>
</file>